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EE" w:rsidRPr="0080186D" w:rsidRDefault="00A125EE" w:rsidP="006A1949">
      <w:pPr>
        <w:pStyle w:val="rozdzial"/>
        <w:spacing w:after="120"/>
        <w:ind w:left="0" w:firstLine="0"/>
      </w:pPr>
      <w:r w:rsidRPr="0080186D">
        <w:t>Przedmioto</w:t>
      </w:r>
      <w:r w:rsidR="00352CDF">
        <w:t>wy system oceniania</w:t>
      </w:r>
    </w:p>
    <w:tbl>
      <w:tblPr>
        <w:tblW w:w="0" w:type="auto"/>
        <w:tblLook w:val="04A0"/>
      </w:tblPr>
      <w:tblGrid>
        <w:gridCol w:w="6195"/>
      </w:tblGrid>
      <w:tr w:rsidR="00A125EE" w:rsidRPr="0080186D" w:rsidTr="00A125EE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0" w:type="auto"/>
              <w:tblInd w:w="0" w:type="dxa"/>
              <w:tblLook w:val="04A0"/>
            </w:tblPr>
            <w:tblGrid>
              <w:gridCol w:w="5859"/>
            </w:tblGrid>
            <w:tr w:rsidR="00A125EE" w:rsidRPr="0080186D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:rsidR="00A125EE" w:rsidRPr="0080186D" w:rsidRDefault="00A125EE" w:rsidP="006A1949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186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szczegółowe warunki</w:t>
                  </w:r>
                  <w:r w:rsidR="005019FC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 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sposób oceniania określa statut szkoły</w:t>
                  </w:r>
                </w:p>
              </w:tc>
            </w:tr>
          </w:tbl>
          <w:p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301"/>
        <w:gridCol w:w="4283"/>
        <w:gridCol w:w="4129"/>
        <w:gridCol w:w="3341"/>
      </w:tblGrid>
      <w:tr w:rsidR="00921BA1" w:rsidRPr="0080186D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lastRenderedPageBreak/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przewodnikach pod wpływem oddziaływania ładunku zewnętrznego (indukcja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elektrostatyczna)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doświadczenie ilustrujące właściwości ciał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naelektryzowanych,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du elektrycznego: źródło energii elektrycznej, odbiornik (np. żarówka, opornik), przewody, wyłącznik, mierniki (amperomierz, woltomierz); rozróżnia symbole graficzne tych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ków; posługuje się symbolami graficznymi tych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bada zależność natężenia prądu od rodzaju odbiornika (żarówki) przy tym samym napięciu oraz zależność oporu elektrycznego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przewodnika od jego długości, pola przekroju poprzecznego i rodzaju materiału, z jakiego jest wykonany,</w:t>
            </w:r>
          </w:p>
          <w:p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 xml:space="preserve">stosuje w obliczeniach zależność oporu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  <w:lang w:val="pl-PL"/>
              </w:rPr>
              <w:br/>
            </m:r>
            <m:oMath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 xml:space="preserve">(w tym związane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 obliczaniem kosztów zużycia energii elektrycznej)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wskazuje oddziaływanie magnetyczne jako podstawę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działania silników elektrycznych; podaje przykłady wykorzystania silników elektrycznych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właściwości ferromagnetyków; podaje przykłady ferromagnetyków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zwojnicy (reguła śruby prawoskrętnej, reguła prawej dłoni, na podstawie ułożenia </w:t>
            </w:r>
            <w:r w:rsidRPr="00750CCB">
              <w:rPr>
                <w:spacing w:val="6"/>
                <w:sz w:val="17"/>
                <w:szCs w:val="17"/>
                <w:lang w:val="pl-PL"/>
              </w:rPr>
              <w:lastRenderedPageBreak/>
              <w:t>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netycznych: radiowe, mikrofale, promieniowanie podczerwone, światło widzialne, promieniowanie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rozchodzenie się fali mechanicznej jako proces przekazywania energii bez przenoszenia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materii</w:t>
            </w:r>
          </w:p>
          <w:p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nych przez zwierciadła (pozorne lub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rzeczywiste, proste lub odwrócone, powiększone, pomniejszone lub tej samej wielkości co przedmiot)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obserwuje bieg promienia światła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</w:t>
            </w:r>
            <w:r w:rsidR="0080186D" w:rsidRPr="0080186D">
              <w:rPr>
                <w:sz w:val="17"/>
                <w:szCs w:val="17"/>
                <w:lang w:val="pl-PL"/>
              </w:rPr>
              <w:lastRenderedPageBreak/>
              <w:t>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budowę oka oraz powstawanie obrazu na siatkówce, korzystając ze schematycznego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</w:t>
            </w:r>
            <w:r w:rsidR="005019FC" w:rsidRPr="0005791D">
              <w:rPr>
                <w:sz w:val="17"/>
                <w:szCs w:val="17"/>
                <w:lang w:val="pl-PL"/>
              </w:rPr>
              <w:lastRenderedPageBreak/>
              <w:t>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</w:t>
            </w:r>
            <w:bookmarkStart w:id="0" w:name="_GoBack"/>
            <w:bookmarkEnd w:id="0"/>
            <w:r w:rsidRPr="0005791D">
              <w:rPr>
                <w:sz w:val="17"/>
                <w:szCs w:val="17"/>
                <w:lang w:val="pl-PL"/>
              </w:rPr>
              <w:t xml:space="preserve">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DB36F2" w:rsidRPr="0080186D" w:rsidRDefault="00DB36F2" w:rsidP="00352CDF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8"/>
      <w:footerReference w:type="default" r:id="rId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64" w:rsidRDefault="00567064" w:rsidP="005019FC">
      <w:r>
        <w:separator/>
      </w:r>
    </w:p>
  </w:endnote>
  <w:endnote w:type="continuationSeparator" w:id="0">
    <w:p w:rsidR="00567064" w:rsidRDefault="00567064" w:rsidP="0050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:rsidR="00BD0596" w:rsidRPr="00A65C11" w:rsidRDefault="005670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64" w:rsidRDefault="00567064" w:rsidP="005019FC">
      <w:r>
        <w:separator/>
      </w:r>
    </w:p>
  </w:footnote>
  <w:footnote w:type="continuationSeparator" w:id="0">
    <w:p w:rsidR="00567064" w:rsidRDefault="00567064" w:rsidP="00501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C53FB0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5pt;margin-top:27.8pt;width:36.1pt;height:17pt;z-index:251663360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<v:textbox inset=",0,,0">
            <w:txbxContent>
              <w:p w:rsidR="00BD0596" w:rsidRPr="00A65C11" w:rsidRDefault="00C53FB0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F46D1F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F46D1F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F46D1F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352CDF" w:rsidRPr="00352CDF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49" type="#_x0000_t202" style="position:absolute;margin-left:35.9pt;margin-top:27.9pt;width:122.9pt;height:17pt;z-index:25166438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<v:textbox inset=",0,,0">
            <w:txbxContent>
              <w:p w:rsidR="00BD0596" w:rsidRDefault="00F46D1F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BD0596" w:rsidRPr="00A65C11" w:rsidRDefault="00567064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BD0596" w:rsidRDefault="005670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73ED"/>
    <w:rsid w:val="000500BA"/>
    <w:rsid w:val="0005791D"/>
    <w:rsid w:val="000B39E2"/>
    <w:rsid w:val="00173924"/>
    <w:rsid w:val="00222A6F"/>
    <w:rsid w:val="002E66C0"/>
    <w:rsid w:val="00352CDF"/>
    <w:rsid w:val="003A094A"/>
    <w:rsid w:val="00474684"/>
    <w:rsid w:val="004F6C5C"/>
    <w:rsid w:val="005019FC"/>
    <w:rsid w:val="00567064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C53FB0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92A8-8CC7-4D5A-82C8-DF89CD6B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5136</Words>
  <Characters>30816</Characters>
  <Application>Microsoft Office Word</Application>
  <DocSecurity>0</DocSecurity>
  <Lines>256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User</cp:lastModifiedBy>
  <cp:revision>2</cp:revision>
  <dcterms:created xsi:type="dcterms:W3CDTF">2019-09-18T12:26:00Z</dcterms:created>
  <dcterms:modified xsi:type="dcterms:W3CDTF">2019-09-18T12:26:00Z</dcterms:modified>
</cp:coreProperties>
</file>